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-13970</wp:posOffset>
                </wp:positionV>
                <wp:extent cx="1383030" cy="542925"/>
                <wp:effectExtent l="635" t="635" r="29845" b="10795"/>
                <wp:wrapNone/>
                <wp:docPr id="1026" name="角丸四角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角丸四角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83030" cy="542925"/>
                        </a:xfrm>
                        <a:prstGeom prst="roundRect">
                          <a:avLst>
                            <a:gd name="adj" fmla="val 16665"/>
                          </a:avLst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電子入札用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strokecolor="#00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電子入札用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令和８年度ファイリングデータ作成及びデータ入力並びにデータベース追加編集業務委託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令和８年１０月２０日（火）１３時２０分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196850</wp:posOffset>
                </wp:positionV>
                <wp:extent cx="1495425" cy="11239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95425" cy="1123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width:117.75pt;height:88.5pt;mso-position-horizontal-relative:text;position:absolute;margin-left:297.35000000000002pt;margin-top:15.5pt;" o:spid="_x0000_s1027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松江市</dc:creator>
  <cp:lastModifiedBy>福間　美由紀</cp:lastModifiedBy>
  <dcterms:created xsi:type="dcterms:W3CDTF">2026-09-17T02:08:00Z</dcterms:created>
  <dcterms:modified xsi:type="dcterms:W3CDTF">2026-09-17T02:08:00Z</dcterms:modified>
  <cp:revision>0</cp:revision>
</cp:coreProperties>
</file>